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AF4CF" w14:textId="77777777" w:rsidR="000438BA" w:rsidRDefault="000438BA" w:rsidP="000438BA">
      <w:pPr>
        <w:autoSpaceDE w:val="0"/>
        <w:autoSpaceDN w:val="0"/>
        <w:adjustRightInd w:val="0"/>
        <w:spacing w:after="0" w:line="240" w:lineRule="auto"/>
        <w:rPr>
          <w:rFonts w:ascii="Calibri,Bold" w:hAnsi="Calibri,Bold" w:cs="Calibri,Bold"/>
          <w:b/>
          <w:bCs/>
          <w:color w:val="595959" w:themeColor="text1" w:themeTint="A6"/>
          <w:sz w:val="24"/>
          <w:szCs w:val="24"/>
        </w:rPr>
      </w:pPr>
      <w:r w:rsidRPr="0008313B">
        <w:rPr>
          <w:rFonts w:ascii="Calibri,Bold" w:hAnsi="Calibri,Bold" w:cs="Calibri,Bold"/>
          <w:b/>
          <w:bCs/>
          <w:color w:val="595959" w:themeColor="text1" w:themeTint="A6"/>
          <w:sz w:val="24"/>
          <w:szCs w:val="24"/>
        </w:rPr>
        <w:t>Pobreza</w:t>
      </w:r>
    </w:p>
    <w:p w14:paraId="4E99CBC7" w14:textId="77777777" w:rsidR="007951BA" w:rsidRPr="0008313B" w:rsidRDefault="007951BA" w:rsidP="000438BA">
      <w:pPr>
        <w:autoSpaceDE w:val="0"/>
        <w:autoSpaceDN w:val="0"/>
        <w:adjustRightInd w:val="0"/>
        <w:spacing w:after="0" w:line="240" w:lineRule="auto"/>
        <w:rPr>
          <w:rFonts w:ascii="Calibri,Bold" w:hAnsi="Calibri,Bold" w:cs="Calibri,Bold"/>
          <w:b/>
          <w:bCs/>
          <w:color w:val="595959" w:themeColor="text1" w:themeTint="A6"/>
          <w:sz w:val="24"/>
          <w:szCs w:val="24"/>
        </w:rPr>
      </w:pPr>
    </w:p>
    <w:p w14:paraId="39BEABE0" w14:textId="77777777" w:rsidR="00B84439" w:rsidRPr="009C555E" w:rsidRDefault="000438BA" w:rsidP="000438BA">
      <w:pPr>
        <w:autoSpaceDE w:val="0"/>
        <w:autoSpaceDN w:val="0"/>
        <w:adjustRightInd w:val="0"/>
        <w:spacing w:after="0" w:line="240" w:lineRule="auto"/>
        <w:rPr>
          <w:rFonts w:ascii="Candara" w:hAnsi="Candara" w:cs="Calibri"/>
          <w:color w:val="595959" w:themeColor="text1" w:themeTint="A6"/>
          <w:sz w:val="24"/>
          <w:szCs w:val="24"/>
        </w:rPr>
      </w:pPr>
      <w:r w:rsidRPr="009C555E">
        <w:rPr>
          <w:rFonts w:ascii="Candara" w:hAnsi="Candara" w:cs="Arial"/>
          <w:color w:val="595959" w:themeColor="text1" w:themeTint="A6"/>
          <w:sz w:val="24"/>
          <w:szCs w:val="24"/>
        </w:rPr>
        <w:t xml:space="preserve">• </w:t>
      </w:r>
      <w:r w:rsidRPr="009C555E">
        <w:rPr>
          <w:rFonts w:ascii="Candara" w:hAnsi="Candara" w:cs="Calibri"/>
          <w:color w:val="595959" w:themeColor="text1" w:themeTint="A6"/>
          <w:sz w:val="24"/>
          <w:szCs w:val="24"/>
        </w:rPr>
        <w:t xml:space="preserve">“Pobreza es, ante todo, un síndrome situacional en el que se asocian el infra consumo, la desnutrición, precarias condiciones de habitabilidad, bajos niveles educacionales, malas condiciones sanitarias, una inserción laboral ya sea inestable ya sea en estados primitivos del aparato productivo, un cuadro de desaliento y poca participación en los mecanismos de integración social” (Oscar </w:t>
      </w:r>
      <w:proofErr w:type="spellStart"/>
      <w:r w:rsidRPr="009C555E">
        <w:rPr>
          <w:rFonts w:ascii="Candara" w:hAnsi="Candara" w:cs="Calibri"/>
          <w:color w:val="595959" w:themeColor="text1" w:themeTint="A6"/>
          <w:sz w:val="24"/>
          <w:szCs w:val="24"/>
        </w:rPr>
        <w:t>Altimir</w:t>
      </w:r>
      <w:proofErr w:type="spellEnd"/>
      <w:r w:rsidRPr="009C555E">
        <w:rPr>
          <w:rFonts w:ascii="Candara" w:hAnsi="Candara" w:cs="Calibri"/>
          <w:color w:val="595959" w:themeColor="text1" w:themeTint="A6"/>
          <w:sz w:val="24"/>
          <w:szCs w:val="24"/>
        </w:rPr>
        <w:t>).</w:t>
      </w:r>
    </w:p>
    <w:p w14:paraId="62D481D2" w14:textId="77777777" w:rsidR="000438BA" w:rsidRPr="009C555E" w:rsidRDefault="000438BA" w:rsidP="000438BA">
      <w:pPr>
        <w:autoSpaceDE w:val="0"/>
        <w:autoSpaceDN w:val="0"/>
        <w:adjustRightInd w:val="0"/>
        <w:spacing w:after="0" w:line="240" w:lineRule="auto"/>
        <w:rPr>
          <w:rFonts w:ascii="Candara" w:hAnsi="Candara" w:cs="Calibri,Bold"/>
          <w:b/>
          <w:bCs/>
          <w:color w:val="595959" w:themeColor="text1" w:themeTint="A6"/>
          <w:sz w:val="24"/>
          <w:szCs w:val="24"/>
        </w:rPr>
      </w:pPr>
    </w:p>
    <w:p w14:paraId="0D854024" w14:textId="77777777" w:rsidR="000438BA" w:rsidRPr="009C555E" w:rsidRDefault="000438BA" w:rsidP="000438BA">
      <w:pPr>
        <w:autoSpaceDE w:val="0"/>
        <w:autoSpaceDN w:val="0"/>
        <w:adjustRightInd w:val="0"/>
        <w:spacing w:after="0" w:line="240" w:lineRule="auto"/>
        <w:rPr>
          <w:rFonts w:ascii="Candara" w:hAnsi="Candara" w:cs="Calibri,Bold"/>
          <w:b/>
          <w:bCs/>
          <w:color w:val="595959" w:themeColor="text1" w:themeTint="A6"/>
          <w:sz w:val="24"/>
          <w:szCs w:val="24"/>
        </w:rPr>
      </w:pPr>
      <w:r w:rsidRPr="009C555E">
        <w:rPr>
          <w:rFonts w:ascii="Candara" w:hAnsi="Candara" w:cs="Calibri,Bold"/>
          <w:b/>
          <w:bCs/>
          <w:color w:val="595959" w:themeColor="text1" w:themeTint="A6"/>
          <w:sz w:val="24"/>
          <w:szCs w:val="24"/>
        </w:rPr>
        <w:t>Métodos de medición de la pobreza</w:t>
      </w:r>
    </w:p>
    <w:p w14:paraId="4BFA594E" w14:textId="77777777" w:rsidR="000438BA" w:rsidRPr="009C555E" w:rsidRDefault="000438BA" w:rsidP="000438BA">
      <w:pPr>
        <w:pStyle w:val="Prrafodelista"/>
        <w:numPr>
          <w:ilvl w:val="0"/>
          <w:numId w:val="1"/>
        </w:numPr>
        <w:autoSpaceDE w:val="0"/>
        <w:autoSpaceDN w:val="0"/>
        <w:adjustRightInd w:val="0"/>
        <w:spacing w:after="0" w:line="240" w:lineRule="auto"/>
        <w:rPr>
          <w:rFonts w:ascii="Candara" w:hAnsi="Candara" w:cs="Calibri"/>
          <w:color w:val="595959" w:themeColor="text1" w:themeTint="A6"/>
          <w:sz w:val="24"/>
          <w:szCs w:val="24"/>
        </w:rPr>
      </w:pPr>
      <w:r w:rsidRPr="009C555E">
        <w:rPr>
          <w:rFonts w:ascii="Candara" w:hAnsi="Candara" w:cs="Calibri"/>
          <w:color w:val="595959" w:themeColor="text1" w:themeTint="A6"/>
          <w:sz w:val="24"/>
          <w:szCs w:val="24"/>
        </w:rPr>
        <w:t>Medición por Necesidades Básicas Insatisfechas (NBI)</w:t>
      </w:r>
    </w:p>
    <w:p w14:paraId="5E40CFF7" w14:textId="77777777" w:rsidR="000438BA" w:rsidRPr="009C555E" w:rsidRDefault="000438BA" w:rsidP="000438BA">
      <w:pPr>
        <w:pStyle w:val="Prrafodelista"/>
        <w:numPr>
          <w:ilvl w:val="0"/>
          <w:numId w:val="1"/>
        </w:numPr>
        <w:autoSpaceDE w:val="0"/>
        <w:autoSpaceDN w:val="0"/>
        <w:adjustRightInd w:val="0"/>
        <w:spacing w:after="0" w:line="240" w:lineRule="auto"/>
        <w:rPr>
          <w:rFonts w:ascii="Candara" w:hAnsi="Candara" w:cs="Calibri"/>
          <w:color w:val="595959" w:themeColor="text1" w:themeTint="A6"/>
          <w:sz w:val="24"/>
          <w:szCs w:val="24"/>
        </w:rPr>
      </w:pPr>
      <w:r w:rsidRPr="009C555E">
        <w:rPr>
          <w:rFonts w:ascii="Candara" w:hAnsi="Candara" w:cs="Calibri"/>
          <w:color w:val="595959" w:themeColor="text1" w:themeTint="A6"/>
          <w:sz w:val="24"/>
          <w:szCs w:val="24"/>
        </w:rPr>
        <w:t>Medición por ingresos</w:t>
      </w:r>
    </w:p>
    <w:p w14:paraId="77770D45" w14:textId="77777777" w:rsidR="000438BA" w:rsidRPr="009C555E" w:rsidRDefault="000438BA" w:rsidP="000438BA">
      <w:pPr>
        <w:pStyle w:val="Prrafodelista"/>
        <w:numPr>
          <w:ilvl w:val="0"/>
          <w:numId w:val="3"/>
        </w:numPr>
        <w:autoSpaceDE w:val="0"/>
        <w:autoSpaceDN w:val="0"/>
        <w:adjustRightInd w:val="0"/>
        <w:spacing w:after="0" w:line="240" w:lineRule="auto"/>
        <w:rPr>
          <w:rFonts w:ascii="Candara" w:hAnsi="Candara" w:cs="Calibri"/>
          <w:color w:val="595959" w:themeColor="text1" w:themeTint="A6"/>
          <w:sz w:val="24"/>
          <w:szCs w:val="24"/>
        </w:rPr>
      </w:pPr>
      <w:r w:rsidRPr="009C555E">
        <w:rPr>
          <w:rFonts w:ascii="Candara" w:hAnsi="Candara" w:cs="Calibri"/>
          <w:color w:val="595959" w:themeColor="text1" w:themeTint="A6"/>
          <w:sz w:val="24"/>
          <w:szCs w:val="24"/>
        </w:rPr>
        <w:t>Línea de indigencia</w:t>
      </w:r>
    </w:p>
    <w:p w14:paraId="2D450867" w14:textId="77777777" w:rsidR="000438BA" w:rsidRPr="009C555E" w:rsidRDefault="000438BA" w:rsidP="000438BA">
      <w:pPr>
        <w:pStyle w:val="Prrafodelista"/>
        <w:numPr>
          <w:ilvl w:val="0"/>
          <w:numId w:val="3"/>
        </w:numPr>
        <w:rPr>
          <w:rFonts w:ascii="Candara" w:hAnsi="Candara" w:cs="Calibri"/>
          <w:color w:val="595959" w:themeColor="text1" w:themeTint="A6"/>
          <w:sz w:val="24"/>
          <w:szCs w:val="24"/>
        </w:rPr>
      </w:pPr>
      <w:r w:rsidRPr="009C555E">
        <w:rPr>
          <w:rFonts w:ascii="Candara" w:hAnsi="Candara" w:cs="Calibri"/>
          <w:color w:val="595959" w:themeColor="text1" w:themeTint="A6"/>
          <w:sz w:val="24"/>
          <w:szCs w:val="24"/>
        </w:rPr>
        <w:t>Línea de pobreza</w:t>
      </w:r>
    </w:p>
    <w:p w14:paraId="4C602678" w14:textId="77777777" w:rsidR="000438BA" w:rsidRPr="009C555E" w:rsidRDefault="000438BA" w:rsidP="000438BA">
      <w:pPr>
        <w:pStyle w:val="Prrafodelista"/>
        <w:ind w:left="1068"/>
        <w:rPr>
          <w:rFonts w:ascii="Candara" w:hAnsi="Candara" w:cs="Calibri"/>
          <w:color w:val="595959" w:themeColor="text1" w:themeTint="A6"/>
          <w:sz w:val="24"/>
          <w:szCs w:val="24"/>
        </w:rPr>
      </w:pPr>
    </w:p>
    <w:p w14:paraId="1FB09546" w14:textId="77777777" w:rsidR="000438BA" w:rsidRPr="009C555E" w:rsidRDefault="000438BA" w:rsidP="000438BA">
      <w:pPr>
        <w:pStyle w:val="Prrafodelista"/>
        <w:numPr>
          <w:ilvl w:val="0"/>
          <w:numId w:val="5"/>
        </w:numPr>
        <w:autoSpaceDE w:val="0"/>
        <w:autoSpaceDN w:val="0"/>
        <w:adjustRightInd w:val="0"/>
        <w:spacing w:after="0" w:line="240" w:lineRule="auto"/>
        <w:rPr>
          <w:rFonts w:ascii="Candara" w:hAnsi="Candara" w:cs="Calibri,Bold"/>
          <w:b/>
          <w:bCs/>
          <w:color w:val="595959" w:themeColor="text1" w:themeTint="A6"/>
          <w:sz w:val="24"/>
          <w:szCs w:val="24"/>
        </w:rPr>
      </w:pPr>
      <w:r w:rsidRPr="009C555E">
        <w:rPr>
          <w:rFonts w:ascii="Candara" w:hAnsi="Candara" w:cs="Calibri,Bold"/>
          <w:b/>
          <w:bCs/>
          <w:color w:val="595959" w:themeColor="text1" w:themeTint="A6"/>
          <w:sz w:val="24"/>
          <w:szCs w:val="24"/>
        </w:rPr>
        <w:t>Método de las Necesidades Básicas Insatisfechas</w:t>
      </w:r>
    </w:p>
    <w:p w14:paraId="545B6370" w14:textId="77777777" w:rsidR="000438BA" w:rsidRPr="009C555E" w:rsidRDefault="000438BA" w:rsidP="000438BA">
      <w:pPr>
        <w:autoSpaceDE w:val="0"/>
        <w:autoSpaceDN w:val="0"/>
        <w:adjustRightInd w:val="0"/>
        <w:spacing w:after="0" w:line="240" w:lineRule="auto"/>
        <w:rPr>
          <w:rFonts w:ascii="Candara" w:hAnsi="Candara" w:cs="Arial"/>
          <w:color w:val="595959" w:themeColor="text1" w:themeTint="A6"/>
          <w:sz w:val="24"/>
          <w:szCs w:val="24"/>
        </w:rPr>
      </w:pPr>
    </w:p>
    <w:p w14:paraId="5102A4B1" w14:textId="77777777" w:rsidR="000438BA" w:rsidRPr="009C555E" w:rsidRDefault="000438BA" w:rsidP="000438BA">
      <w:pPr>
        <w:autoSpaceDE w:val="0"/>
        <w:autoSpaceDN w:val="0"/>
        <w:adjustRightInd w:val="0"/>
        <w:spacing w:after="0" w:line="240" w:lineRule="auto"/>
        <w:rPr>
          <w:rFonts w:ascii="Candara" w:hAnsi="Candara" w:cs="Calibri"/>
          <w:color w:val="595959" w:themeColor="text1" w:themeTint="A6"/>
          <w:sz w:val="24"/>
          <w:szCs w:val="24"/>
        </w:rPr>
      </w:pPr>
      <w:r w:rsidRPr="009C555E">
        <w:rPr>
          <w:rFonts w:ascii="Candara" w:hAnsi="Candara" w:cs="Arial"/>
          <w:color w:val="595959" w:themeColor="text1" w:themeTint="A6"/>
          <w:sz w:val="24"/>
          <w:szCs w:val="24"/>
        </w:rPr>
        <w:t xml:space="preserve">• </w:t>
      </w:r>
      <w:r w:rsidRPr="009C555E">
        <w:rPr>
          <w:rFonts w:ascii="Candara" w:hAnsi="Candara" w:cs="Calibri"/>
          <w:color w:val="595959" w:themeColor="text1" w:themeTint="A6"/>
          <w:sz w:val="24"/>
          <w:szCs w:val="24"/>
        </w:rPr>
        <w:t>Método directo, conocido también como pobreza estructural.</w:t>
      </w:r>
    </w:p>
    <w:p w14:paraId="6D74EE71" w14:textId="77777777" w:rsidR="000438BA" w:rsidRPr="009C555E" w:rsidRDefault="000438BA" w:rsidP="000438BA">
      <w:pPr>
        <w:autoSpaceDE w:val="0"/>
        <w:autoSpaceDN w:val="0"/>
        <w:adjustRightInd w:val="0"/>
        <w:spacing w:after="0" w:line="240" w:lineRule="auto"/>
        <w:rPr>
          <w:rFonts w:ascii="Candara" w:hAnsi="Candara" w:cs="Calibri"/>
          <w:color w:val="595959" w:themeColor="text1" w:themeTint="A6"/>
          <w:sz w:val="24"/>
          <w:szCs w:val="24"/>
        </w:rPr>
      </w:pPr>
      <w:r w:rsidRPr="009C555E">
        <w:rPr>
          <w:rFonts w:ascii="Candara" w:hAnsi="Candara" w:cs="Arial"/>
          <w:color w:val="595959" w:themeColor="text1" w:themeTint="A6"/>
          <w:sz w:val="24"/>
          <w:szCs w:val="24"/>
        </w:rPr>
        <w:t xml:space="preserve">• </w:t>
      </w:r>
      <w:r w:rsidRPr="009C555E">
        <w:rPr>
          <w:rFonts w:ascii="Candara" w:hAnsi="Candara" w:cs="Calibri"/>
          <w:color w:val="595959" w:themeColor="text1" w:themeTint="A6"/>
          <w:sz w:val="24"/>
          <w:szCs w:val="24"/>
        </w:rPr>
        <w:t>Ejemplos de Necesidades Básicas de un hogar:</w:t>
      </w:r>
    </w:p>
    <w:p w14:paraId="39EC6494" w14:textId="77777777" w:rsidR="000438BA" w:rsidRPr="009C555E" w:rsidRDefault="000438BA" w:rsidP="000438BA">
      <w:pPr>
        <w:pStyle w:val="Prrafodelista"/>
        <w:numPr>
          <w:ilvl w:val="0"/>
          <w:numId w:val="6"/>
        </w:numPr>
        <w:autoSpaceDE w:val="0"/>
        <w:autoSpaceDN w:val="0"/>
        <w:adjustRightInd w:val="0"/>
        <w:spacing w:after="0" w:line="240" w:lineRule="auto"/>
        <w:rPr>
          <w:rFonts w:ascii="Candara" w:hAnsi="Candara" w:cs="Calibri"/>
          <w:color w:val="595959" w:themeColor="text1" w:themeTint="A6"/>
          <w:sz w:val="24"/>
          <w:szCs w:val="24"/>
        </w:rPr>
      </w:pPr>
      <w:r w:rsidRPr="009C555E">
        <w:rPr>
          <w:rFonts w:ascii="Candara" w:hAnsi="Candara" w:cs="Calibri"/>
          <w:color w:val="595959" w:themeColor="text1" w:themeTint="A6"/>
          <w:sz w:val="24"/>
          <w:szCs w:val="24"/>
        </w:rPr>
        <w:t>Calidad de construcción de la vivienda</w:t>
      </w:r>
    </w:p>
    <w:p w14:paraId="3CDB6199" w14:textId="77777777" w:rsidR="000438BA" w:rsidRPr="009C555E" w:rsidRDefault="000438BA" w:rsidP="000438BA">
      <w:pPr>
        <w:pStyle w:val="Prrafodelista"/>
        <w:numPr>
          <w:ilvl w:val="0"/>
          <w:numId w:val="6"/>
        </w:numPr>
        <w:autoSpaceDE w:val="0"/>
        <w:autoSpaceDN w:val="0"/>
        <w:adjustRightInd w:val="0"/>
        <w:spacing w:after="0" w:line="240" w:lineRule="auto"/>
        <w:rPr>
          <w:rFonts w:ascii="Candara" w:hAnsi="Candara" w:cs="Calibri"/>
          <w:color w:val="595959" w:themeColor="text1" w:themeTint="A6"/>
          <w:sz w:val="24"/>
          <w:szCs w:val="24"/>
        </w:rPr>
      </w:pPr>
      <w:r w:rsidRPr="009C555E">
        <w:rPr>
          <w:rFonts w:ascii="Candara" w:hAnsi="Candara" w:cs="Calibri"/>
          <w:color w:val="595959" w:themeColor="text1" w:themeTint="A6"/>
          <w:sz w:val="24"/>
          <w:szCs w:val="24"/>
        </w:rPr>
        <w:t>Servicios que llegan a la vivienda (agua corriente, saneamiento, electricidad, etc.)</w:t>
      </w:r>
    </w:p>
    <w:p w14:paraId="473C10A2" w14:textId="77777777" w:rsidR="000438BA" w:rsidRPr="009C555E" w:rsidRDefault="000438BA" w:rsidP="000438BA">
      <w:pPr>
        <w:pStyle w:val="Prrafodelista"/>
        <w:numPr>
          <w:ilvl w:val="0"/>
          <w:numId w:val="6"/>
        </w:numPr>
        <w:autoSpaceDE w:val="0"/>
        <w:autoSpaceDN w:val="0"/>
        <w:adjustRightInd w:val="0"/>
        <w:spacing w:after="0" w:line="240" w:lineRule="auto"/>
        <w:rPr>
          <w:rFonts w:ascii="Candara" w:hAnsi="Candara" w:cs="Calibri"/>
          <w:color w:val="595959" w:themeColor="text1" w:themeTint="A6"/>
          <w:sz w:val="24"/>
          <w:szCs w:val="24"/>
        </w:rPr>
      </w:pPr>
      <w:r w:rsidRPr="009C555E">
        <w:rPr>
          <w:rFonts w:ascii="Candara" w:hAnsi="Candara" w:cs="Calibri"/>
          <w:color w:val="595959" w:themeColor="text1" w:themeTint="A6"/>
          <w:sz w:val="24"/>
          <w:szCs w:val="24"/>
        </w:rPr>
        <w:t>Nivel educativo y asistencia escolar de los menores de edad</w:t>
      </w:r>
    </w:p>
    <w:p w14:paraId="6656FFD3" w14:textId="77777777" w:rsidR="000438BA" w:rsidRPr="009C555E" w:rsidRDefault="000438BA" w:rsidP="000438BA">
      <w:pPr>
        <w:pStyle w:val="Prrafodelista"/>
        <w:numPr>
          <w:ilvl w:val="0"/>
          <w:numId w:val="6"/>
        </w:numPr>
        <w:autoSpaceDE w:val="0"/>
        <w:autoSpaceDN w:val="0"/>
        <w:adjustRightInd w:val="0"/>
        <w:spacing w:after="0" w:line="240" w:lineRule="auto"/>
        <w:rPr>
          <w:rFonts w:ascii="Candara" w:hAnsi="Candara" w:cs="Calibri"/>
          <w:color w:val="595959" w:themeColor="text1" w:themeTint="A6"/>
          <w:sz w:val="24"/>
          <w:szCs w:val="24"/>
        </w:rPr>
      </w:pPr>
      <w:r w:rsidRPr="009C555E">
        <w:rPr>
          <w:rFonts w:ascii="Candara" w:hAnsi="Candara" w:cs="Calibri"/>
          <w:color w:val="595959" w:themeColor="text1" w:themeTint="A6"/>
          <w:sz w:val="24"/>
          <w:szCs w:val="24"/>
        </w:rPr>
        <w:t>Capacidad de subsistencia (nivel educativo de los adultos)</w:t>
      </w:r>
    </w:p>
    <w:p w14:paraId="32A12DDA" w14:textId="77777777" w:rsidR="000438BA" w:rsidRPr="009C555E" w:rsidRDefault="000438BA" w:rsidP="000438BA">
      <w:pPr>
        <w:autoSpaceDE w:val="0"/>
        <w:autoSpaceDN w:val="0"/>
        <w:adjustRightInd w:val="0"/>
        <w:spacing w:after="0" w:line="240" w:lineRule="auto"/>
        <w:rPr>
          <w:rFonts w:ascii="Candara" w:hAnsi="Candara" w:cs="Calibri"/>
          <w:color w:val="595959" w:themeColor="text1" w:themeTint="A6"/>
          <w:sz w:val="24"/>
          <w:szCs w:val="24"/>
        </w:rPr>
      </w:pPr>
      <w:r w:rsidRPr="009C555E">
        <w:rPr>
          <w:rFonts w:ascii="Candara" w:hAnsi="Candara" w:cs="Arial"/>
          <w:color w:val="595959" w:themeColor="text1" w:themeTint="A6"/>
          <w:sz w:val="24"/>
          <w:szCs w:val="24"/>
        </w:rPr>
        <w:t xml:space="preserve">• </w:t>
      </w:r>
      <w:r w:rsidRPr="009C555E">
        <w:rPr>
          <w:rFonts w:ascii="Candara" w:hAnsi="Candara" w:cs="Calibri"/>
          <w:color w:val="595959" w:themeColor="text1" w:themeTint="A6"/>
          <w:sz w:val="24"/>
          <w:szCs w:val="24"/>
        </w:rPr>
        <w:t>Un hogar es pobre cuando presenta como insatisfecha una o más de las necesidades básicas.</w:t>
      </w:r>
    </w:p>
    <w:p w14:paraId="6C68C2C2" w14:textId="77777777" w:rsidR="000438BA" w:rsidRPr="009C555E" w:rsidRDefault="000438BA" w:rsidP="000438BA">
      <w:pPr>
        <w:autoSpaceDE w:val="0"/>
        <w:autoSpaceDN w:val="0"/>
        <w:adjustRightInd w:val="0"/>
        <w:spacing w:after="0" w:line="240" w:lineRule="auto"/>
        <w:rPr>
          <w:rFonts w:ascii="Candara" w:hAnsi="Candara" w:cs="Calibri"/>
          <w:color w:val="595959" w:themeColor="text1" w:themeTint="A6"/>
          <w:sz w:val="24"/>
          <w:szCs w:val="24"/>
        </w:rPr>
      </w:pPr>
      <w:r w:rsidRPr="009C555E">
        <w:rPr>
          <w:rFonts w:ascii="Candara" w:hAnsi="Candara" w:cs="Arial"/>
          <w:color w:val="595959" w:themeColor="text1" w:themeTint="A6"/>
          <w:sz w:val="24"/>
          <w:szCs w:val="24"/>
        </w:rPr>
        <w:t xml:space="preserve">• </w:t>
      </w:r>
      <w:r w:rsidRPr="009C555E">
        <w:rPr>
          <w:rFonts w:ascii="Candara" w:hAnsi="Candara" w:cs="Calibri"/>
          <w:color w:val="595959" w:themeColor="text1" w:themeTint="A6"/>
          <w:sz w:val="24"/>
          <w:szCs w:val="24"/>
        </w:rPr>
        <w:t>Las NBI se construyen a partir de información censal (no incluye medidas de ingreso ni de consumo).</w:t>
      </w:r>
    </w:p>
    <w:p w14:paraId="0A048005" w14:textId="77777777" w:rsidR="000438BA" w:rsidRPr="009C555E" w:rsidRDefault="000438BA" w:rsidP="000438BA">
      <w:pPr>
        <w:autoSpaceDE w:val="0"/>
        <w:autoSpaceDN w:val="0"/>
        <w:adjustRightInd w:val="0"/>
        <w:spacing w:after="0" w:line="240" w:lineRule="auto"/>
        <w:rPr>
          <w:rFonts w:ascii="Candara" w:hAnsi="Candara" w:cs="Calibri"/>
          <w:color w:val="595959" w:themeColor="text1" w:themeTint="A6"/>
          <w:sz w:val="24"/>
          <w:szCs w:val="24"/>
        </w:rPr>
      </w:pPr>
    </w:p>
    <w:p w14:paraId="69AFF6E3" w14:textId="77777777" w:rsidR="000438BA" w:rsidRPr="009C555E" w:rsidRDefault="000438BA" w:rsidP="000438BA">
      <w:pPr>
        <w:autoSpaceDE w:val="0"/>
        <w:autoSpaceDN w:val="0"/>
        <w:adjustRightInd w:val="0"/>
        <w:spacing w:after="0" w:line="240" w:lineRule="auto"/>
        <w:rPr>
          <w:rFonts w:ascii="Candara" w:hAnsi="Candara" w:cs="Calibri,Bold"/>
          <w:b/>
          <w:bCs/>
          <w:color w:val="595959" w:themeColor="text1" w:themeTint="A6"/>
          <w:sz w:val="24"/>
          <w:szCs w:val="24"/>
        </w:rPr>
      </w:pPr>
      <w:r w:rsidRPr="009C555E">
        <w:rPr>
          <w:rFonts w:ascii="Candara" w:hAnsi="Candara" w:cs="Calibri,Bold"/>
          <w:b/>
          <w:bCs/>
          <w:color w:val="595959" w:themeColor="text1" w:themeTint="A6"/>
          <w:sz w:val="24"/>
          <w:szCs w:val="24"/>
        </w:rPr>
        <w:t>Limitaciones del Método de las Necesidades Básicas Insatisfechas</w:t>
      </w:r>
    </w:p>
    <w:p w14:paraId="1E9F4FB6" w14:textId="77777777" w:rsidR="000438BA" w:rsidRPr="009C555E" w:rsidRDefault="000438BA" w:rsidP="000438BA">
      <w:pPr>
        <w:autoSpaceDE w:val="0"/>
        <w:autoSpaceDN w:val="0"/>
        <w:adjustRightInd w:val="0"/>
        <w:spacing w:after="0" w:line="240" w:lineRule="auto"/>
        <w:rPr>
          <w:rFonts w:ascii="Candara" w:hAnsi="Candara" w:cs="Calibri,Bold"/>
          <w:b/>
          <w:bCs/>
          <w:color w:val="595959" w:themeColor="text1" w:themeTint="A6"/>
          <w:sz w:val="24"/>
          <w:szCs w:val="24"/>
        </w:rPr>
      </w:pPr>
    </w:p>
    <w:p w14:paraId="60C1CC83" w14:textId="77777777" w:rsidR="000438BA" w:rsidRPr="009C555E" w:rsidRDefault="000438BA" w:rsidP="000438BA">
      <w:pPr>
        <w:autoSpaceDE w:val="0"/>
        <w:autoSpaceDN w:val="0"/>
        <w:adjustRightInd w:val="0"/>
        <w:spacing w:after="0" w:line="240" w:lineRule="auto"/>
        <w:jc w:val="both"/>
        <w:rPr>
          <w:rFonts w:ascii="Candara" w:hAnsi="Candara" w:cs="Calibri"/>
          <w:color w:val="595959" w:themeColor="text1" w:themeTint="A6"/>
          <w:sz w:val="24"/>
          <w:szCs w:val="24"/>
        </w:rPr>
      </w:pPr>
      <w:r w:rsidRPr="009C555E">
        <w:rPr>
          <w:rFonts w:ascii="Candara" w:hAnsi="Candara" w:cs="Arial"/>
          <w:color w:val="595959" w:themeColor="text1" w:themeTint="A6"/>
          <w:sz w:val="24"/>
          <w:szCs w:val="24"/>
        </w:rPr>
        <w:t xml:space="preserve">• </w:t>
      </w:r>
      <w:r w:rsidRPr="009C555E">
        <w:rPr>
          <w:rFonts w:ascii="Candara" w:hAnsi="Candara" w:cs="Calibri"/>
          <w:color w:val="595959" w:themeColor="text1" w:themeTint="A6"/>
          <w:sz w:val="24"/>
          <w:szCs w:val="24"/>
        </w:rPr>
        <w:t>El número de NBI tiende a descender en el largo plazo, sin que ello represente necesariamente cambios sustanciales en los niveles de pobreza medidos a través del ingreso.</w:t>
      </w:r>
    </w:p>
    <w:p w14:paraId="05CF9DCD" w14:textId="77777777" w:rsidR="000438BA" w:rsidRPr="009C555E" w:rsidRDefault="000438BA" w:rsidP="000438BA">
      <w:pPr>
        <w:autoSpaceDE w:val="0"/>
        <w:autoSpaceDN w:val="0"/>
        <w:adjustRightInd w:val="0"/>
        <w:spacing w:after="0" w:line="240" w:lineRule="auto"/>
        <w:jc w:val="both"/>
        <w:rPr>
          <w:rFonts w:ascii="Candara" w:hAnsi="Candara" w:cs="Calibri"/>
          <w:color w:val="595959" w:themeColor="text1" w:themeTint="A6"/>
          <w:sz w:val="24"/>
          <w:szCs w:val="24"/>
        </w:rPr>
      </w:pPr>
      <w:r w:rsidRPr="009C555E">
        <w:rPr>
          <w:rFonts w:ascii="Candara" w:hAnsi="Candara" w:cs="Arial"/>
          <w:color w:val="595959" w:themeColor="text1" w:themeTint="A6"/>
          <w:sz w:val="24"/>
          <w:szCs w:val="24"/>
        </w:rPr>
        <w:t xml:space="preserve">• </w:t>
      </w:r>
      <w:r w:rsidRPr="009C555E">
        <w:rPr>
          <w:rFonts w:ascii="Candara" w:hAnsi="Candara" w:cs="Calibri"/>
          <w:color w:val="595959" w:themeColor="text1" w:themeTint="A6"/>
          <w:sz w:val="24"/>
          <w:szCs w:val="24"/>
        </w:rPr>
        <w:t>La riqueza acumulada juega un papel importante, lo cual puede incidir en disminución de NBI pese a estar percibiendo un ingreso insuficiente.</w:t>
      </w:r>
    </w:p>
    <w:p w14:paraId="08E57DA5" w14:textId="77777777" w:rsidR="000438BA" w:rsidRPr="009C555E" w:rsidRDefault="000438BA" w:rsidP="000438BA">
      <w:pPr>
        <w:autoSpaceDE w:val="0"/>
        <w:autoSpaceDN w:val="0"/>
        <w:adjustRightInd w:val="0"/>
        <w:spacing w:after="0" w:line="240" w:lineRule="auto"/>
        <w:jc w:val="both"/>
        <w:rPr>
          <w:rFonts w:ascii="Candara" w:hAnsi="Candara" w:cs="Calibri"/>
          <w:color w:val="595959" w:themeColor="text1" w:themeTint="A6"/>
          <w:sz w:val="24"/>
          <w:szCs w:val="24"/>
        </w:rPr>
      </w:pPr>
      <w:r w:rsidRPr="009C555E">
        <w:rPr>
          <w:rFonts w:ascii="Candara" w:hAnsi="Candara" w:cs="Arial"/>
          <w:color w:val="595959" w:themeColor="text1" w:themeTint="A6"/>
          <w:sz w:val="24"/>
          <w:szCs w:val="24"/>
        </w:rPr>
        <w:t xml:space="preserve">• </w:t>
      </w:r>
      <w:r w:rsidRPr="009C555E">
        <w:rPr>
          <w:rFonts w:ascii="Candara" w:hAnsi="Candara" w:cs="Calibri"/>
          <w:color w:val="595959" w:themeColor="text1" w:themeTint="A6"/>
          <w:sz w:val="24"/>
          <w:szCs w:val="24"/>
        </w:rPr>
        <w:t>El método de clasificación de pobreza en base a NBI es sensible a las zonas geográficas.</w:t>
      </w:r>
    </w:p>
    <w:p w14:paraId="6711D0F2" w14:textId="77777777" w:rsidR="000438BA" w:rsidRPr="009C555E" w:rsidRDefault="000438BA" w:rsidP="000438BA">
      <w:pPr>
        <w:autoSpaceDE w:val="0"/>
        <w:autoSpaceDN w:val="0"/>
        <w:adjustRightInd w:val="0"/>
        <w:spacing w:after="0" w:line="240" w:lineRule="auto"/>
        <w:jc w:val="both"/>
        <w:rPr>
          <w:rFonts w:ascii="Candara" w:hAnsi="Candara" w:cs="Calibri"/>
          <w:color w:val="595959" w:themeColor="text1" w:themeTint="A6"/>
          <w:sz w:val="24"/>
          <w:szCs w:val="24"/>
        </w:rPr>
      </w:pPr>
    </w:p>
    <w:p w14:paraId="3189C1FC" w14:textId="77777777" w:rsidR="000438BA" w:rsidRPr="009C555E" w:rsidRDefault="000438BA" w:rsidP="000438BA">
      <w:pPr>
        <w:pStyle w:val="Prrafodelista"/>
        <w:numPr>
          <w:ilvl w:val="0"/>
          <w:numId w:val="5"/>
        </w:numPr>
        <w:autoSpaceDE w:val="0"/>
        <w:autoSpaceDN w:val="0"/>
        <w:adjustRightInd w:val="0"/>
        <w:spacing w:after="0" w:line="240" w:lineRule="auto"/>
        <w:rPr>
          <w:rFonts w:ascii="Candara" w:hAnsi="Candara" w:cs="Calibri,Bold"/>
          <w:b/>
          <w:bCs/>
          <w:color w:val="595959" w:themeColor="text1" w:themeTint="A6"/>
          <w:sz w:val="24"/>
          <w:szCs w:val="24"/>
        </w:rPr>
      </w:pPr>
      <w:r w:rsidRPr="009C555E">
        <w:rPr>
          <w:rFonts w:ascii="Candara" w:hAnsi="Candara" w:cs="Calibri,Bold"/>
          <w:b/>
          <w:bCs/>
          <w:color w:val="595959" w:themeColor="text1" w:themeTint="A6"/>
          <w:sz w:val="24"/>
          <w:szCs w:val="24"/>
        </w:rPr>
        <w:t>Método del ingreso</w:t>
      </w:r>
    </w:p>
    <w:p w14:paraId="0CE3B3DF" w14:textId="77777777" w:rsidR="000438BA" w:rsidRPr="009C555E" w:rsidRDefault="000438BA" w:rsidP="000438BA">
      <w:pPr>
        <w:autoSpaceDE w:val="0"/>
        <w:autoSpaceDN w:val="0"/>
        <w:adjustRightInd w:val="0"/>
        <w:spacing w:after="0" w:line="240" w:lineRule="auto"/>
        <w:rPr>
          <w:rFonts w:ascii="Candara" w:hAnsi="Candara" w:cs="Calibri"/>
          <w:color w:val="595959" w:themeColor="text1" w:themeTint="A6"/>
          <w:sz w:val="24"/>
          <w:szCs w:val="24"/>
        </w:rPr>
      </w:pPr>
      <w:r w:rsidRPr="009C555E">
        <w:rPr>
          <w:rFonts w:ascii="Candara" w:hAnsi="Candara" w:cs="Arial"/>
          <w:color w:val="595959" w:themeColor="text1" w:themeTint="A6"/>
          <w:sz w:val="24"/>
          <w:szCs w:val="24"/>
        </w:rPr>
        <w:t xml:space="preserve">• </w:t>
      </w:r>
      <w:r w:rsidRPr="009C555E">
        <w:rPr>
          <w:rFonts w:ascii="Candara" w:hAnsi="Candara" w:cs="Calibri"/>
          <w:color w:val="595959" w:themeColor="text1" w:themeTint="A6"/>
          <w:sz w:val="24"/>
          <w:szCs w:val="24"/>
        </w:rPr>
        <w:t>Si el ingreso per cápita del hogar es inferior a un valor monetario definido, el hogar se clasifica como pobre, y por extensión todos sus integrantes se clasifican como pobres.</w:t>
      </w:r>
    </w:p>
    <w:p w14:paraId="167824E4" w14:textId="77777777" w:rsidR="000438BA" w:rsidRPr="009C555E" w:rsidRDefault="000438BA" w:rsidP="000438BA">
      <w:pPr>
        <w:autoSpaceDE w:val="0"/>
        <w:autoSpaceDN w:val="0"/>
        <w:adjustRightInd w:val="0"/>
        <w:spacing w:after="0" w:line="240" w:lineRule="auto"/>
        <w:rPr>
          <w:rFonts w:ascii="Candara" w:hAnsi="Candara" w:cs="Calibri"/>
          <w:color w:val="595959" w:themeColor="text1" w:themeTint="A6"/>
          <w:sz w:val="24"/>
          <w:szCs w:val="24"/>
        </w:rPr>
      </w:pPr>
      <w:r w:rsidRPr="009C555E">
        <w:rPr>
          <w:rFonts w:ascii="Candara" w:hAnsi="Candara" w:cs="Arial"/>
          <w:color w:val="595959" w:themeColor="text1" w:themeTint="A6"/>
          <w:sz w:val="24"/>
          <w:szCs w:val="24"/>
        </w:rPr>
        <w:t xml:space="preserve">• </w:t>
      </w:r>
      <w:r w:rsidRPr="009C555E">
        <w:rPr>
          <w:rFonts w:ascii="Candara" w:hAnsi="Candara" w:cs="Calibri"/>
          <w:color w:val="595959" w:themeColor="text1" w:themeTint="A6"/>
          <w:sz w:val="24"/>
          <w:szCs w:val="24"/>
        </w:rPr>
        <w:t>Dichos valores monetarios se conocen como Canasta Básica Alimentaria (CBA) y Canasta Básica No Alimentaria (CBNA).</w:t>
      </w:r>
    </w:p>
    <w:p w14:paraId="1A2BFF1F" w14:textId="77777777" w:rsidR="000438BA" w:rsidRPr="009C555E" w:rsidRDefault="000438BA" w:rsidP="000438BA">
      <w:pPr>
        <w:autoSpaceDE w:val="0"/>
        <w:autoSpaceDN w:val="0"/>
        <w:adjustRightInd w:val="0"/>
        <w:spacing w:after="0" w:line="240" w:lineRule="auto"/>
        <w:rPr>
          <w:rFonts w:ascii="Candara" w:hAnsi="Candara" w:cs="Calibri"/>
          <w:color w:val="595959" w:themeColor="text1" w:themeTint="A6"/>
          <w:sz w:val="24"/>
          <w:szCs w:val="24"/>
        </w:rPr>
      </w:pPr>
    </w:p>
    <w:p w14:paraId="24E6F5E5" w14:textId="77777777" w:rsidR="000438BA" w:rsidRPr="009C555E" w:rsidRDefault="000438BA" w:rsidP="000438BA">
      <w:pPr>
        <w:pStyle w:val="Prrafodelista"/>
        <w:numPr>
          <w:ilvl w:val="0"/>
          <w:numId w:val="10"/>
        </w:numPr>
        <w:autoSpaceDE w:val="0"/>
        <w:autoSpaceDN w:val="0"/>
        <w:adjustRightInd w:val="0"/>
        <w:spacing w:after="0" w:line="240" w:lineRule="auto"/>
        <w:rPr>
          <w:rFonts w:ascii="Candara" w:hAnsi="Candara" w:cs="Calibri"/>
          <w:color w:val="595959" w:themeColor="text1" w:themeTint="A6"/>
          <w:sz w:val="24"/>
          <w:szCs w:val="24"/>
        </w:rPr>
      </w:pPr>
      <w:r w:rsidRPr="009C555E">
        <w:rPr>
          <w:rFonts w:ascii="Candara" w:hAnsi="Candara" w:cs="Calibri"/>
          <w:color w:val="595959" w:themeColor="text1" w:themeTint="A6"/>
          <w:sz w:val="24"/>
          <w:szCs w:val="24"/>
        </w:rPr>
        <w:t xml:space="preserve">Línea de indigencia per cápita: </w:t>
      </w:r>
      <w:proofErr w:type="spellStart"/>
      <w:r w:rsidRPr="009C555E">
        <w:rPr>
          <w:rFonts w:ascii="Candara" w:hAnsi="Candara" w:cs="Calibri"/>
          <w:color w:val="595959" w:themeColor="text1" w:themeTint="A6"/>
          <w:sz w:val="24"/>
          <w:szCs w:val="24"/>
        </w:rPr>
        <w:t>CBApc</w:t>
      </w:r>
      <w:proofErr w:type="spellEnd"/>
    </w:p>
    <w:p w14:paraId="4B741D6B" w14:textId="77777777" w:rsidR="000438BA" w:rsidRPr="009C555E" w:rsidRDefault="000438BA" w:rsidP="000438BA">
      <w:pPr>
        <w:pStyle w:val="Prrafodelista"/>
        <w:numPr>
          <w:ilvl w:val="0"/>
          <w:numId w:val="10"/>
        </w:numPr>
        <w:autoSpaceDE w:val="0"/>
        <w:autoSpaceDN w:val="0"/>
        <w:adjustRightInd w:val="0"/>
        <w:spacing w:after="0" w:line="240" w:lineRule="auto"/>
        <w:rPr>
          <w:rFonts w:ascii="Candara" w:hAnsi="Candara" w:cs="Calibri"/>
          <w:color w:val="595959" w:themeColor="text1" w:themeTint="A6"/>
          <w:sz w:val="24"/>
          <w:szCs w:val="24"/>
        </w:rPr>
      </w:pPr>
      <w:r w:rsidRPr="009C555E">
        <w:rPr>
          <w:rFonts w:ascii="Candara" w:hAnsi="Candara" w:cs="Calibri"/>
          <w:color w:val="595959" w:themeColor="text1" w:themeTint="A6"/>
          <w:sz w:val="24"/>
          <w:szCs w:val="24"/>
        </w:rPr>
        <w:t xml:space="preserve">Línea de indigencia del Hogar: </w:t>
      </w:r>
      <w:proofErr w:type="spellStart"/>
      <w:r w:rsidRPr="009C555E">
        <w:rPr>
          <w:rFonts w:ascii="Candara" w:hAnsi="Candara" w:cs="Calibri"/>
          <w:color w:val="595959" w:themeColor="text1" w:themeTint="A6"/>
          <w:sz w:val="24"/>
          <w:szCs w:val="24"/>
        </w:rPr>
        <w:t>CBApc</w:t>
      </w:r>
      <w:proofErr w:type="spellEnd"/>
      <w:r w:rsidRPr="009C555E">
        <w:rPr>
          <w:rFonts w:ascii="Candara" w:hAnsi="Candara" w:cs="Calibri"/>
          <w:color w:val="595959" w:themeColor="text1" w:themeTint="A6"/>
          <w:sz w:val="24"/>
          <w:szCs w:val="24"/>
        </w:rPr>
        <w:t xml:space="preserve"> * n</w:t>
      </w:r>
    </w:p>
    <w:p w14:paraId="409979CC" w14:textId="77777777" w:rsidR="000438BA" w:rsidRPr="009C555E" w:rsidRDefault="000438BA" w:rsidP="000438BA">
      <w:pPr>
        <w:autoSpaceDE w:val="0"/>
        <w:autoSpaceDN w:val="0"/>
        <w:adjustRightInd w:val="0"/>
        <w:spacing w:after="0" w:line="240" w:lineRule="auto"/>
        <w:rPr>
          <w:rFonts w:ascii="Candara" w:hAnsi="Candara" w:cs="Calibri"/>
          <w:color w:val="595959" w:themeColor="text1" w:themeTint="A6"/>
          <w:sz w:val="24"/>
          <w:szCs w:val="24"/>
        </w:rPr>
      </w:pPr>
    </w:p>
    <w:p w14:paraId="5AE25E79" w14:textId="77777777" w:rsidR="000438BA" w:rsidRPr="009C555E" w:rsidRDefault="000438BA" w:rsidP="000438BA">
      <w:pPr>
        <w:autoSpaceDE w:val="0"/>
        <w:autoSpaceDN w:val="0"/>
        <w:adjustRightInd w:val="0"/>
        <w:spacing w:after="0" w:line="240" w:lineRule="auto"/>
        <w:rPr>
          <w:rFonts w:ascii="Candara" w:hAnsi="Candara" w:cs="Calibri,Bold"/>
          <w:b/>
          <w:bCs/>
          <w:color w:val="595959" w:themeColor="text1" w:themeTint="A6"/>
          <w:sz w:val="24"/>
          <w:szCs w:val="24"/>
        </w:rPr>
      </w:pPr>
      <w:r w:rsidRPr="009C555E">
        <w:rPr>
          <w:rFonts w:ascii="Candara" w:hAnsi="Candara" w:cs="Calibri,Bold"/>
          <w:b/>
          <w:bCs/>
          <w:color w:val="595959" w:themeColor="text1" w:themeTint="A6"/>
          <w:sz w:val="24"/>
          <w:szCs w:val="24"/>
        </w:rPr>
        <w:t>Limitaciones del Método del ingreso</w:t>
      </w:r>
    </w:p>
    <w:p w14:paraId="394F4038" w14:textId="77777777" w:rsidR="000438BA" w:rsidRPr="009C555E" w:rsidRDefault="000438BA" w:rsidP="000438BA">
      <w:pPr>
        <w:autoSpaceDE w:val="0"/>
        <w:autoSpaceDN w:val="0"/>
        <w:adjustRightInd w:val="0"/>
        <w:spacing w:after="0" w:line="240" w:lineRule="auto"/>
        <w:rPr>
          <w:rFonts w:ascii="Candara" w:hAnsi="Candara" w:cs="Calibri,Bold"/>
          <w:b/>
          <w:bCs/>
          <w:color w:val="595959" w:themeColor="text1" w:themeTint="A6"/>
          <w:sz w:val="24"/>
          <w:szCs w:val="24"/>
        </w:rPr>
      </w:pPr>
    </w:p>
    <w:p w14:paraId="305F6C47" w14:textId="77777777" w:rsidR="000438BA" w:rsidRPr="009C555E" w:rsidRDefault="000438BA" w:rsidP="000438BA">
      <w:pPr>
        <w:pStyle w:val="Prrafodelista"/>
        <w:numPr>
          <w:ilvl w:val="0"/>
          <w:numId w:val="12"/>
        </w:numPr>
        <w:autoSpaceDE w:val="0"/>
        <w:autoSpaceDN w:val="0"/>
        <w:adjustRightInd w:val="0"/>
        <w:spacing w:after="0" w:line="240" w:lineRule="auto"/>
        <w:rPr>
          <w:rFonts w:ascii="Candara" w:hAnsi="Candara" w:cs="Calibri"/>
          <w:color w:val="595959" w:themeColor="text1" w:themeTint="A6"/>
          <w:sz w:val="24"/>
          <w:szCs w:val="24"/>
        </w:rPr>
      </w:pPr>
      <w:r w:rsidRPr="009C555E">
        <w:rPr>
          <w:rFonts w:ascii="Candara" w:hAnsi="Candara" w:cs="Calibri"/>
          <w:color w:val="595959" w:themeColor="text1" w:themeTint="A6"/>
          <w:sz w:val="24"/>
          <w:szCs w:val="24"/>
        </w:rPr>
        <w:t>La medición está influida por el ciclo macroeconómico y puede estar recogiendo comportamientos coyunturales.</w:t>
      </w:r>
    </w:p>
    <w:p w14:paraId="57C9A1A7" w14:textId="77777777" w:rsidR="000438BA" w:rsidRPr="009C555E" w:rsidRDefault="000438BA" w:rsidP="000438BA">
      <w:pPr>
        <w:pStyle w:val="Prrafodelista"/>
        <w:numPr>
          <w:ilvl w:val="0"/>
          <w:numId w:val="12"/>
        </w:numPr>
        <w:autoSpaceDE w:val="0"/>
        <w:autoSpaceDN w:val="0"/>
        <w:adjustRightInd w:val="0"/>
        <w:spacing w:after="0" w:line="240" w:lineRule="auto"/>
        <w:rPr>
          <w:rFonts w:ascii="Candara" w:hAnsi="Candara" w:cs="Calibri"/>
          <w:color w:val="595959" w:themeColor="text1" w:themeTint="A6"/>
          <w:sz w:val="24"/>
          <w:szCs w:val="24"/>
        </w:rPr>
      </w:pPr>
      <w:r w:rsidRPr="009C555E">
        <w:rPr>
          <w:rFonts w:ascii="Candara" w:hAnsi="Candara" w:cs="Calibri"/>
          <w:color w:val="595959" w:themeColor="text1" w:themeTint="A6"/>
          <w:sz w:val="24"/>
          <w:szCs w:val="24"/>
        </w:rPr>
        <w:t>Sólo se considera el ingreso generado, y no la forma en que se gasta.</w:t>
      </w:r>
    </w:p>
    <w:p w14:paraId="6D4B76E8" w14:textId="77777777" w:rsidR="000438BA" w:rsidRPr="009C555E" w:rsidRDefault="000438BA" w:rsidP="000438BA">
      <w:pPr>
        <w:pStyle w:val="Prrafodelista"/>
        <w:numPr>
          <w:ilvl w:val="0"/>
          <w:numId w:val="12"/>
        </w:numPr>
        <w:autoSpaceDE w:val="0"/>
        <w:autoSpaceDN w:val="0"/>
        <w:adjustRightInd w:val="0"/>
        <w:spacing w:after="0" w:line="240" w:lineRule="auto"/>
        <w:rPr>
          <w:rFonts w:ascii="Candara" w:hAnsi="Candara" w:cs="Calibri"/>
          <w:color w:val="595959" w:themeColor="text1" w:themeTint="A6"/>
          <w:sz w:val="24"/>
          <w:szCs w:val="24"/>
        </w:rPr>
      </w:pPr>
      <w:r w:rsidRPr="009C555E">
        <w:rPr>
          <w:rFonts w:ascii="Candara" w:hAnsi="Candara" w:cs="Calibri"/>
          <w:color w:val="595959" w:themeColor="text1" w:themeTint="A6"/>
          <w:sz w:val="24"/>
          <w:szCs w:val="24"/>
        </w:rPr>
        <w:t>Considera el ingreso del hogar pero no la riqueza (capacidad de endeudamiento).</w:t>
      </w:r>
    </w:p>
    <w:p w14:paraId="031D8A10" w14:textId="77777777" w:rsidR="000438BA" w:rsidRPr="009C555E" w:rsidRDefault="000438BA" w:rsidP="000438BA">
      <w:pPr>
        <w:pStyle w:val="Prrafodelista"/>
        <w:numPr>
          <w:ilvl w:val="0"/>
          <w:numId w:val="12"/>
        </w:numPr>
        <w:autoSpaceDE w:val="0"/>
        <w:autoSpaceDN w:val="0"/>
        <w:adjustRightInd w:val="0"/>
        <w:spacing w:after="0" w:line="240" w:lineRule="auto"/>
        <w:rPr>
          <w:rFonts w:ascii="Candara" w:hAnsi="Candara" w:cs="Calibri"/>
          <w:color w:val="595959" w:themeColor="text1" w:themeTint="A6"/>
          <w:sz w:val="24"/>
          <w:szCs w:val="24"/>
        </w:rPr>
      </w:pPr>
      <w:r w:rsidRPr="009C555E">
        <w:rPr>
          <w:rFonts w:ascii="Candara" w:hAnsi="Candara" w:cs="Calibri"/>
          <w:color w:val="595959" w:themeColor="text1" w:themeTint="A6"/>
          <w:sz w:val="24"/>
          <w:szCs w:val="24"/>
        </w:rPr>
        <w:t>Considera ingresos efectivos monetarios y no consumos a título gratuito.</w:t>
      </w:r>
    </w:p>
    <w:p w14:paraId="1F462AF5" w14:textId="77777777" w:rsidR="000438BA" w:rsidRPr="009C555E" w:rsidRDefault="000438BA" w:rsidP="000438BA">
      <w:pPr>
        <w:autoSpaceDE w:val="0"/>
        <w:autoSpaceDN w:val="0"/>
        <w:adjustRightInd w:val="0"/>
        <w:spacing w:after="0" w:line="240" w:lineRule="auto"/>
        <w:rPr>
          <w:rFonts w:ascii="Candara" w:hAnsi="Candara" w:cs="Calibri"/>
          <w:color w:val="595959" w:themeColor="text1" w:themeTint="A6"/>
          <w:sz w:val="24"/>
          <w:szCs w:val="24"/>
        </w:rPr>
      </w:pPr>
    </w:p>
    <w:p w14:paraId="61EAB3C0" w14:textId="77777777" w:rsidR="000438BA" w:rsidRPr="009C555E" w:rsidRDefault="000438BA" w:rsidP="000438BA">
      <w:pPr>
        <w:autoSpaceDE w:val="0"/>
        <w:autoSpaceDN w:val="0"/>
        <w:adjustRightInd w:val="0"/>
        <w:spacing w:after="0" w:line="240" w:lineRule="auto"/>
        <w:rPr>
          <w:rFonts w:ascii="Candara" w:hAnsi="Candara" w:cs="Calibri,Bold"/>
          <w:b/>
          <w:bCs/>
          <w:color w:val="595959" w:themeColor="text1" w:themeTint="A6"/>
          <w:sz w:val="24"/>
          <w:szCs w:val="24"/>
        </w:rPr>
      </w:pPr>
      <w:r w:rsidRPr="009C555E">
        <w:rPr>
          <w:rFonts w:ascii="Candara" w:hAnsi="Candara" w:cs="Calibri,Bold"/>
          <w:b/>
          <w:bCs/>
          <w:color w:val="595959" w:themeColor="text1" w:themeTint="A6"/>
          <w:sz w:val="24"/>
          <w:szCs w:val="24"/>
        </w:rPr>
        <w:t>Método Integrado</w:t>
      </w:r>
    </w:p>
    <w:p w14:paraId="03FEA6D1" w14:textId="77777777" w:rsidR="000438BA" w:rsidRPr="009C555E" w:rsidRDefault="000438BA" w:rsidP="009C555E">
      <w:pPr>
        <w:autoSpaceDE w:val="0"/>
        <w:autoSpaceDN w:val="0"/>
        <w:adjustRightInd w:val="0"/>
        <w:spacing w:after="0" w:line="240" w:lineRule="auto"/>
        <w:jc w:val="both"/>
        <w:rPr>
          <w:rFonts w:ascii="Candara" w:hAnsi="Candara" w:cs="Calibri"/>
          <w:color w:val="595959" w:themeColor="text1" w:themeTint="A6"/>
          <w:sz w:val="24"/>
          <w:szCs w:val="24"/>
        </w:rPr>
      </w:pPr>
      <w:r w:rsidRPr="009C555E">
        <w:rPr>
          <w:rFonts w:ascii="Candara" w:hAnsi="Candara" w:cs="Arial"/>
          <w:color w:val="595959" w:themeColor="text1" w:themeTint="A6"/>
          <w:sz w:val="24"/>
          <w:szCs w:val="24"/>
        </w:rPr>
        <w:t xml:space="preserve">• </w:t>
      </w:r>
      <w:proofErr w:type="spellStart"/>
      <w:r w:rsidRPr="009C555E">
        <w:rPr>
          <w:rFonts w:ascii="Candara" w:hAnsi="Candara" w:cs="Calibri"/>
          <w:color w:val="595959" w:themeColor="text1" w:themeTint="A6"/>
          <w:sz w:val="24"/>
          <w:szCs w:val="24"/>
        </w:rPr>
        <w:t>Ruben</w:t>
      </w:r>
      <w:proofErr w:type="spellEnd"/>
      <w:r w:rsidRPr="009C555E">
        <w:rPr>
          <w:rFonts w:ascii="Candara" w:hAnsi="Candara" w:cs="Calibri"/>
          <w:color w:val="595959" w:themeColor="text1" w:themeTint="A6"/>
          <w:sz w:val="24"/>
          <w:szCs w:val="24"/>
        </w:rPr>
        <w:t xml:space="preserve"> </w:t>
      </w:r>
      <w:proofErr w:type="spellStart"/>
      <w:r w:rsidRPr="009C555E">
        <w:rPr>
          <w:rFonts w:ascii="Candara" w:hAnsi="Candara" w:cs="Calibri"/>
          <w:color w:val="595959" w:themeColor="text1" w:themeTint="A6"/>
          <w:sz w:val="24"/>
          <w:szCs w:val="24"/>
        </w:rPr>
        <w:t>Kaztman</w:t>
      </w:r>
      <w:proofErr w:type="spellEnd"/>
      <w:r w:rsidRPr="009C555E">
        <w:rPr>
          <w:rFonts w:ascii="Candara" w:hAnsi="Candara" w:cs="Calibri"/>
          <w:color w:val="595959" w:themeColor="text1" w:themeTint="A6"/>
          <w:sz w:val="24"/>
          <w:szCs w:val="24"/>
        </w:rPr>
        <w:t xml:space="preserve"> propuso un método que integra los dos instrumentos, combina la medición de acuerdo a la línea de pobreza y a las NBI. Define cuatro cuadrantes, según el hogar sea clasificado con NBI o NBS, y por debajo o por encima de la línea de pobreza.</w:t>
      </w:r>
    </w:p>
    <w:p w14:paraId="5B526023" w14:textId="77777777" w:rsidR="000438BA" w:rsidRPr="009C555E" w:rsidRDefault="000438BA" w:rsidP="000438BA">
      <w:pPr>
        <w:autoSpaceDE w:val="0"/>
        <w:autoSpaceDN w:val="0"/>
        <w:adjustRightInd w:val="0"/>
        <w:spacing w:after="0" w:line="240" w:lineRule="auto"/>
        <w:rPr>
          <w:rFonts w:ascii="Candara" w:hAnsi="Candara" w:cs="Calibri"/>
          <w:color w:val="595959" w:themeColor="text1" w:themeTint="A6"/>
          <w:sz w:val="36"/>
          <w:szCs w:val="36"/>
        </w:rPr>
      </w:pPr>
    </w:p>
    <w:p w14:paraId="023F121C" w14:textId="77777777" w:rsidR="000438BA" w:rsidRPr="009C555E" w:rsidRDefault="0008313B" w:rsidP="000438BA">
      <w:pPr>
        <w:autoSpaceDE w:val="0"/>
        <w:autoSpaceDN w:val="0"/>
        <w:adjustRightInd w:val="0"/>
        <w:spacing w:after="0" w:line="240" w:lineRule="auto"/>
        <w:rPr>
          <w:rFonts w:ascii="Candara" w:hAnsi="Candara" w:cs="Calibri"/>
          <w:b/>
          <w:color w:val="595959" w:themeColor="text1" w:themeTint="A6"/>
          <w:sz w:val="24"/>
          <w:szCs w:val="24"/>
        </w:rPr>
      </w:pPr>
      <w:r w:rsidRPr="009C555E">
        <w:rPr>
          <w:rFonts w:ascii="Candara" w:hAnsi="Candara" w:cs="Calibri"/>
          <w:b/>
          <w:color w:val="595959" w:themeColor="text1" w:themeTint="A6"/>
          <w:sz w:val="24"/>
          <w:szCs w:val="24"/>
        </w:rPr>
        <w:t xml:space="preserve">                                                                         </w:t>
      </w:r>
      <w:r w:rsidR="000438BA" w:rsidRPr="009C555E">
        <w:rPr>
          <w:rFonts w:ascii="Candara" w:hAnsi="Candara" w:cs="Calibri"/>
          <w:b/>
          <w:color w:val="595959" w:themeColor="text1" w:themeTint="A6"/>
          <w:sz w:val="24"/>
          <w:szCs w:val="24"/>
        </w:rPr>
        <w:t>Satisfacción de necesidades básicas</w:t>
      </w:r>
    </w:p>
    <w:tbl>
      <w:tblPr>
        <w:tblStyle w:val="Tablaconcuadrcula"/>
        <w:tblW w:w="0" w:type="auto"/>
        <w:tblLook w:val="04A0" w:firstRow="1" w:lastRow="0" w:firstColumn="1" w:lastColumn="0" w:noHBand="0" w:noVBand="1"/>
      </w:tblPr>
      <w:tblGrid>
        <w:gridCol w:w="3085"/>
        <w:gridCol w:w="2677"/>
        <w:gridCol w:w="2882"/>
      </w:tblGrid>
      <w:tr w:rsidR="000438BA" w:rsidRPr="009C555E" w14:paraId="4C2FB5C0" w14:textId="77777777" w:rsidTr="0008313B">
        <w:tc>
          <w:tcPr>
            <w:tcW w:w="3085" w:type="dxa"/>
          </w:tcPr>
          <w:p w14:paraId="48A66528" w14:textId="77777777" w:rsidR="000438BA" w:rsidRPr="009C555E" w:rsidRDefault="000438BA" w:rsidP="000438BA">
            <w:pPr>
              <w:autoSpaceDE w:val="0"/>
              <w:autoSpaceDN w:val="0"/>
              <w:adjustRightInd w:val="0"/>
              <w:rPr>
                <w:rFonts w:ascii="Candara" w:hAnsi="Candara" w:cs="Calibri"/>
                <w:color w:val="595959" w:themeColor="text1" w:themeTint="A6"/>
                <w:sz w:val="36"/>
                <w:szCs w:val="36"/>
              </w:rPr>
            </w:pPr>
          </w:p>
        </w:tc>
        <w:tc>
          <w:tcPr>
            <w:tcW w:w="2677" w:type="dxa"/>
          </w:tcPr>
          <w:p w14:paraId="32839716" w14:textId="77777777" w:rsidR="000438BA" w:rsidRPr="009C555E" w:rsidRDefault="0008313B" w:rsidP="0008313B">
            <w:pPr>
              <w:autoSpaceDE w:val="0"/>
              <w:autoSpaceDN w:val="0"/>
              <w:adjustRightInd w:val="0"/>
              <w:jc w:val="center"/>
              <w:rPr>
                <w:rFonts w:ascii="Candara" w:hAnsi="Candara" w:cs="Calibri"/>
                <w:b/>
                <w:color w:val="595959" w:themeColor="text1" w:themeTint="A6"/>
                <w:sz w:val="28"/>
                <w:szCs w:val="28"/>
              </w:rPr>
            </w:pPr>
            <w:r w:rsidRPr="009C555E">
              <w:rPr>
                <w:rFonts w:ascii="Candara" w:hAnsi="Candara" w:cs="Calibri"/>
                <w:b/>
                <w:color w:val="595959" w:themeColor="text1" w:themeTint="A6"/>
                <w:sz w:val="28"/>
                <w:szCs w:val="28"/>
              </w:rPr>
              <w:t>Insatisfechas</w:t>
            </w:r>
          </w:p>
        </w:tc>
        <w:tc>
          <w:tcPr>
            <w:tcW w:w="2882" w:type="dxa"/>
          </w:tcPr>
          <w:p w14:paraId="7D47F284" w14:textId="77777777" w:rsidR="000438BA" w:rsidRPr="009C555E" w:rsidRDefault="0008313B" w:rsidP="0008313B">
            <w:pPr>
              <w:autoSpaceDE w:val="0"/>
              <w:autoSpaceDN w:val="0"/>
              <w:adjustRightInd w:val="0"/>
              <w:jc w:val="center"/>
              <w:rPr>
                <w:rFonts w:ascii="Candara" w:hAnsi="Candara" w:cs="Calibri"/>
                <w:b/>
                <w:color w:val="595959" w:themeColor="text1" w:themeTint="A6"/>
                <w:sz w:val="28"/>
                <w:szCs w:val="28"/>
              </w:rPr>
            </w:pPr>
            <w:r w:rsidRPr="009C555E">
              <w:rPr>
                <w:rFonts w:ascii="Candara" w:hAnsi="Candara" w:cs="Calibri"/>
                <w:b/>
                <w:color w:val="595959" w:themeColor="text1" w:themeTint="A6"/>
                <w:sz w:val="28"/>
                <w:szCs w:val="28"/>
              </w:rPr>
              <w:t>Satisfechas</w:t>
            </w:r>
          </w:p>
        </w:tc>
      </w:tr>
      <w:tr w:rsidR="000438BA" w:rsidRPr="009C555E" w14:paraId="5E678B44" w14:textId="77777777" w:rsidTr="0008313B">
        <w:tc>
          <w:tcPr>
            <w:tcW w:w="3085" w:type="dxa"/>
          </w:tcPr>
          <w:p w14:paraId="5D5C7412" w14:textId="77777777" w:rsidR="000438BA" w:rsidRPr="009C555E" w:rsidRDefault="0008313B" w:rsidP="000438BA">
            <w:pPr>
              <w:autoSpaceDE w:val="0"/>
              <w:autoSpaceDN w:val="0"/>
              <w:adjustRightInd w:val="0"/>
              <w:rPr>
                <w:rFonts w:ascii="Candara" w:hAnsi="Candara" w:cs="Calibri"/>
                <w:b/>
                <w:color w:val="595959" w:themeColor="text1" w:themeTint="A6"/>
                <w:sz w:val="28"/>
                <w:szCs w:val="28"/>
              </w:rPr>
            </w:pPr>
            <w:r w:rsidRPr="009C555E">
              <w:rPr>
                <w:rFonts w:ascii="Candara" w:hAnsi="Candara" w:cs="Calibri"/>
                <w:b/>
                <w:color w:val="595959" w:themeColor="text1" w:themeTint="A6"/>
                <w:sz w:val="28"/>
                <w:szCs w:val="28"/>
              </w:rPr>
              <w:t>Sobre línea de pobreza</w:t>
            </w:r>
          </w:p>
        </w:tc>
        <w:tc>
          <w:tcPr>
            <w:tcW w:w="2677" w:type="dxa"/>
          </w:tcPr>
          <w:p w14:paraId="3EDDB0E7" w14:textId="77777777" w:rsidR="000438BA" w:rsidRPr="009C555E" w:rsidRDefault="0008313B" w:rsidP="000438BA">
            <w:pPr>
              <w:autoSpaceDE w:val="0"/>
              <w:autoSpaceDN w:val="0"/>
              <w:adjustRightInd w:val="0"/>
              <w:rPr>
                <w:rFonts w:ascii="Candara" w:hAnsi="Candara" w:cs="Calibri"/>
                <w:color w:val="595959" w:themeColor="text1" w:themeTint="A6"/>
                <w:sz w:val="24"/>
                <w:szCs w:val="24"/>
              </w:rPr>
            </w:pPr>
            <w:r w:rsidRPr="009C555E">
              <w:rPr>
                <w:rFonts w:ascii="Candara" w:hAnsi="Candara" w:cs="Calibri"/>
                <w:color w:val="595959" w:themeColor="text1" w:themeTint="A6"/>
                <w:sz w:val="24"/>
                <w:szCs w:val="24"/>
              </w:rPr>
              <w:t>Pobreza reciente</w:t>
            </w:r>
          </w:p>
        </w:tc>
        <w:tc>
          <w:tcPr>
            <w:tcW w:w="2882" w:type="dxa"/>
          </w:tcPr>
          <w:p w14:paraId="59D86A01" w14:textId="77777777" w:rsidR="000438BA" w:rsidRPr="009C555E" w:rsidRDefault="0008313B" w:rsidP="000438BA">
            <w:pPr>
              <w:autoSpaceDE w:val="0"/>
              <w:autoSpaceDN w:val="0"/>
              <w:adjustRightInd w:val="0"/>
              <w:rPr>
                <w:rFonts w:ascii="Candara" w:hAnsi="Candara" w:cs="Calibri"/>
                <w:color w:val="595959" w:themeColor="text1" w:themeTint="A6"/>
                <w:sz w:val="24"/>
                <w:szCs w:val="24"/>
              </w:rPr>
            </w:pPr>
            <w:r w:rsidRPr="009C555E">
              <w:rPr>
                <w:rFonts w:ascii="Candara" w:hAnsi="Candara" w:cs="Calibri"/>
                <w:color w:val="595959" w:themeColor="text1" w:themeTint="A6"/>
                <w:sz w:val="24"/>
                <w:szCs w:val="24"/>
              </w:rPr>
              <w:t>No pobres</w:t>
            </w:r>
          </w:p>
        </w:tc>
      </w:tr>
      <w:tr w:rsidR="000438BA" w:rsidRPr="009C555E" w14:paraId="3ABE52CD" w14:textId="77777777" w:rsidTr="0008313B">
        <w:tc>
          <w:tcPr>
            <w:tcW w:w="3085" w:type="dxa"/>
          </w:tcPr>
          <w:p w14:paraId="4556A6EA" w14:textId="77777777" w:rsidR="000438BA" w:rsidRPr="009C555E" w:rsidRDefault="0008313B" w:rsidP="000438BA">
            <w:pPr>
              <w:autoSpaceDE w:val="0"/>
              <w:autoSpaceDN w:val="0"/>
              <w:adjustRightInd w:val="0"/>
              <w:rPr>
                <w:rFonts w:ascii="Candara" w:hAnsi="Candara" w:cs="Calibri"/>
                <w:b/>
                <w:color w:val="595959" w:themeColor="text1" w:themeTint="A6"/>
                <w:sz w:val="28"/>
                <w:szCs w:val="28"/>
              </w:rPr>
            </w:pPr>
            <w:r w:rsidRPr="009C555E">
              <w:rPr>
                <w:rFonts w:ascii="Candara" w:hAnsi="Candara" w:cs="Calibri"/>
                <w:b/>
                <w:color w:val="595959" w:themeColor="text1" w:themeTint="A6"/>
                <w:sz w:val="28"/>
                <w:szCs w:val="28"/>
              </w:rPr>
              <w:t>Bajo la línea de pobreza</w:t>
            </w:r>
          </w:p>
        </w:tc>
        <w:tc>
          <w:tcPr>
            <w:tcW w:w="2677" w:type="dxa"/>
          </w:tcPr>
          <w:p w14:paraId="284E3879" w14:textId="77777777" w:rsidR="000438BA" w:rsidRPr="009C555E" w:rsidRDefault="0008313B" w:rsidP="000438BA">
            <w:pPr>
              <w:autoSpaceDE w:val="0"/>
              <w:autoSpaceDN w:val="0"/>
              <w:adjustRightInd w:val="0"/>
              <w:rPr>
                <w:rFonts w:ascii="Candara" w:hAnsi="Candara" w:cs="Calibri"/>
                <w:color w:val="595959" w:themeColor="text1" w:themeTint="A6"/>
                <w:sz w:val="24"/>
                <w:szCs w:val="24"/>
              </w:rPr>
            </w:pPr>
            <w:r w:rsidRPr="009C555E">
              <w:rPr>
                <w:rFonts w:ascii="Candara" w:hAnsi="Candara" w:cs="Calibri"/>
                <w:color w:val="595959" w:themeColor="text1" w:themeTint="A6"/>
                <w:sz w:val="24"/>
                <w:szCs w:val="24"/>
              </w:rPr>
              <w:t xml:space="preserve">Pobreza </w:t>
            </w:r>
            <w:proofErr w:type="spellStart"/>
            <w:r w:rsidRPr="009C555E">
              <w:rPr>
                <w:rFonts w:ascii="Candara" w:hAnsi="Candara" w:cs="Calibri"/>
                <w:color w:val="595959" w:themeColor="text1" w:themeTint="A6"/>
                <w:sz w:val="24"/>
                <w:szCs w:val="24"/>
              </w:rPr>
              <w:t>cronica</w:t>
            </w:r>
            <w:proofErr w:type="spellEnd"/>
          </w:p>
        </w:tc>
        <w:tc>
          <w:tcPr>
            <w:tcW w:w="2882" w:type="dxa"/>
          </w:tcPr>
          <w:p w14:paraId="5BD94F26" w14:textId="77777777" w:rsidR="000438BA" w:rsidRPr="009C555E" w:rsidRDefault="0008313B" w:rsidP="000438BA">
            <w:pPr>
              <w:autoSpaceDE w:val="0"/>
              <w:autoSpaceDN w:val="0"/>
              <w:adjustRightInd w:val="0"/>
              <w:rPr>
                <w:rFonts w:ascii="Candara" w:hAnsi="Candara" w:cs="Calibri"/>
                <w:color w:val="595959" w:themeColor="text1" w:themeTint="A6"/>
                <w:sz w:val="24"/>
                <w:szCs w:val="24"/>
              </w:rPr>
            </w:pPr>
            <w:r w:rsidRPr="009C555E">
              <w:rPr>
                <w:rFonts w:ascii="Candara" w:hAnsi="Candara" w:cs="Calibri"/>
                <w:color w:val="595959" w:themeColor="text1" w:themeTint="A6"/>
                <w:sz w:val="24"/>
                <w:szCs w:val="24"/>
              </w:rPr>
              <w:t>Pobreza inercial</w:t>
            </w:r>
          </w:p>
        </w:tc>
      </w:tr>
    </w:tbl>
    <w:p w14:paraId="327B4ED3" w14:textId="77777777" w:rsidR="000438BA" w:rsidRPr="009C555E" w:rsidRDefault="000438BA" w:rsidP="000438BA">
      <w:pPr>
        <w:autoSpaceDE w:val="0"/>
        <w:autoSpaceDN w:val="0"/>
        <w:adjustRightInd w:val="0"/>
        <w:spacing w:after="0" w:line="240" w:lineRule="auto"/>
        <w:rPr>
          <w:rFonts w:ascii="Candara" w:hAnsi="Candara" w:cs="Calibri"/>
          <w:color w:val="595959" w:themeColor="text1" w:themeTint="A6"/>
          <w:sz w:val="36"/>
          <w:szCs w:val="36"/>
        </w:rPr>
      </w:pPr>
    </w:p>
    <w:p w14:paraId="3F8BD203" w14:textId="77777777" w:rsidR="000438BA" w:rsidRPr="009C555E" w:rsidRDefault="000438BA" w:rsidP="000438BA">
      <w:pPr>
        <w:autoSpaceDE w:val="0"/>
        <w:autoSpaceDN w:val="0"/>
        <w:adjustRightInd w:val="0"/>
        <w:spacing w:after="0" w:line="240" w:lineRule="auto"/>
        <w:rPr>
          <w:rFonts w:ascii="Candara" w:hAnsi="Candara" w:cs="Calibri"/>
          <w:color w:val="595959" w:themeColor="text1" w:themeTint="A6"/>
          <w:sz w:val="24"/>
          <w:szCs w:val="24"/>
        </w:rPr>
      </w:pPr>
    </w:p>
    <w:sectPr w:rsidR="000438BA" w:rsidRPr="009C555E" w:rsidSect="00B844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9pt;height:9pt" o:bullet="t">
        <v:imagedata r:id="rId1" o:title="BD10268_"/>
      </v:shape>
    </w:pict>
  </w:numPicBullet>
  <w:abstractNum w:abstractNumId="0" w15:restartNumberingAfterBreak="0">
    <w:nsid w:val="02BC11A4"/>
    <w:multiLevelType w:val="hybridMultilevel"/>
    <w:tmpl w:val="1268860A"/>
    <w:lvl w:ilvl="0" w:tplc="5FA0F63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9D876F5"/>
    <w:multiLevelType w:val="hybridMultilevel"/>
    <w:tmpl w:val="DF181922"/>
    <w:lvl w:ilvl="0" w:tplc="7F4C0394">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A347AC"/>
    <w:multiLevelType w:val="hybridMultilevel"/>
    <w:tmpl w:val="B8ECCFA0"/>
    <w:lvl w:ilvl="0" w:tplc="0C0A0001">
      <w:start w:val="1"/>
      <w:numFmt w:val="bullet"/>
      <w:lvlText w:val=""/>
      <w:lvlJc w:val="left"/>
      <w:pPr>
        <w:ind w:left="720" w:hanging="360"/>
      </w:pPr>
      <w:rPr>
        <w:rFonts w:ascii="Symbol" w:hAnsi="Symbol" w:hint="default"/>
        <w:color w:val="auto"/>
      </w:rPr>
    </w:lvl>
    <w:lvl w:ilvl="1" w:tplc="CE145D86">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FCD7BEB"/>
    <w:multiLevelType w:val="hybridMultilevel"/>
    <w:tmpl w:val="80CA35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D7A2731"/>
    <w:multiLevelType w:val="hybridMultilevel"/>
    <w:tmpl w:val="3B5A42CA"/>
    <w:lvl w:ilvl="0" w:tplc="8214AD8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561C33"/>
    <w:multiLevelType w:val="hybridMultilevel"/>
    <w:tmpl w:val="070E2284"/>
    <w:lvl w:ilvl="0" w:tplc="3132D3B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9673DF"/>
    <w:multiLevelType w:val="hybridMultilevel"/>
    <w:tmpl w:val="F4BA3AB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4B2C11E6"/>
    <w:multiLevelType w:val="hybridMultilevel"/>
    <w:tmpl w:val="A06CE6A4"/>
    <w:lvl w:ilvl="0" w:tplc="35D82A5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0D10046"/>
    <w:multiLevelType w:val="hybridMultilevel"/>
    <w:tmpl w:val="3858DEC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303332A"/>
    <w:multiLevelType w:val="hybridMultilevel"/>
    <w:tmpl w:val="2E46940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4DF11AD"/>
    <w:multiLevelType w:val="hybridMultilevel"/>
    <w:tmpl w:val="BE508C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62B437C"/>
    <w:multiLevelType w:val="hybridMultilevel"/>
    <w:tmpl w:val="77E055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76874191">
    <w:abstractNumId w:val="11"/>
  </w:num>
  <w:num w:numId="2" w16cid:durableId="705250708">
    <w:abstractNumId w:val="5"/>
  </w:num>
  <w:num w:numId="3" w16cid:durableId="1226065359">
    <w:abstractNumId w:val="6"/>
  </w:num>
  <w:num w:numId="4" w16cid:durableId="1038622070">
    <w:abstractNumId w:val="0"/>
  </w:num>
  <w:num w:numId="5" w16cid:durableId="1077553975">
    <w:abstractNumId w:val="10"/>
  </w:num>
  <w:num w:numId="6" w16cid:durableId="1491479533">
    <w:abstractNumId w:val="8"/>
  </w:num>
  <w:num w:numId="7" w16cid:durableId="1339888388">
    <w:abstractNumId w:val="7"/>
  </w:num>
  <w:num w:numId="8" w16cid:durableId="9376100">
    <w:abstractNumId w:val="1"/>
  </w:num>
  <w:num w:numId="9" w16cid:durableId="695154675">
    <w:abstractNumId w:val="4"/>
  </w:num>
  <w:num w:numId="10" w16cid:durableId="1824853590">
    <w:abstractNumId w:val="2"/>
  </w:num>
  <w:num w:numId="11" w16cid:durableId="58022994">
    <w:abstractNumId w:val="9"/>
  </w:num>
  <w:num w:numId="12" w16cid:durableId="939488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438BA"/>
    <w:rsid w:val="000438BA"/>
    <w:rsid w:val="0008313B"/>
    <w:rsid w:val="0049071F"/>
    <w:rsid w:val="007951BA"/>
    <w:rsid w:val="00796CAB"/>
    <w:rsid w:val="009C555E"/>
    <w:rsid w:val="00B84439"/>
    <w:rsid w:val="00E7109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24AA"/>
  <w15:docId w15:val="{0831E987-73FD-4EE7-BF17-B1854859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4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38BA"/>
    <w:pPr>
      <w:ind w:left="720"/>
      <w:contextualSpacing/>
    </w:pPr>
  </w:style>
  <w:style w:type="table" w:styleId="Tablaconcuadrcula">
    <w:name w:val="Table Grid"/>
    <w:basedOn w:val="Tablanormal"/>
    <w:uiPriority w:val="59"/>
    <w:rsid w:val="00043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2470</Characters>
  <Application>Microsoft Office Word</Application>
  <DocSecurity>0</DocSecurity>
  <Lines>123</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Gino</dc:creator>
  <cp:lastModifiedBy>Olivia Arrospide Panero</cp:lastModifiedBy>
  <cp:revision>3</cp:revision>
  <cp:lastPrinted>2016-08-04T18:18:00Z</cp:lastPrinted>
  <dcterms:created xsi:type="dcterms:W3CDTF">2018-07-26T18:57:00Z</dcterms:created>
  <dcterms:modified xsi:type="dcterms:W3CDTF">2023-07-30T11:30:00Z</dcterms:modified>
</cp:coreProperties>
</file>